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228CC">
      <w:pPr>
        <w:pStyle w:val="6"/>
        <w:ind w:firstLine="198" w:firstLineChars="45"/>
        <w:contextualSpacing/>
        <w:rPr>
          <w:rFonts w:hint="eastAsia" w:ascii="方正小标宋_GBK" w:hAnsi="方正小标宋_GBK" w:eastAsia="方正小标宋_GBK" w:cs="方正小标宋_GBK"/>
          <w:color w:val="000000"/>
          <w:szCs w:val="44"/>
        </w:rPr>
      </w:pPr>
      <w:bookmarkStart w:id="0" w:name="_GoBack"/>
      <w:bookmarkEnd w:id="0"/>
      <w:r>
        <w:rPr>
          <w:rFonts w:hint="eastAsia" w:ascii="方正小标宋_GBK" w:hAnsi="方正小标宋_GBK" w:eastAsia="方正小标宋_GBK" w:cs="方正小标宋_GBK"/>
          <w:color w:val="000000"/>
        </w:rPr>
        <w:t>四川省县级农村产权流转交易平台建设指引</w:t>
      </w:r>
    </w:p>
    <w:tbl>
      <w:tblPr>
        <w:tblStyle w:val="4"/>
        <w:tblW w:w="0" w:type="auto"/>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440"/>
        <w:gridCol w:w="9618"/>
      </w:tblGrid>
      <w:tr w14:paraId="004D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49" w:type="dxa"/>
            <w:tcBorders>
              <w:top w:val="single" w:color="auto" w:sz="4" w:space="0"/>
              <w:left w:val="single" w:color="auto" w:sz="4" w:space="0"/>
              <w:bottom w:val="single" w:color="auto" w:sz="4" w:space="0"/>
              <w:right w:val="single" w:color="auto" w:sz="4" w:space="0"/>
            </w:tcBorders>
            <w:noWrap w:val="0"/>
            <w:vAlign w:val="top"/>
          </w:tcPr>
          <w:p w14:paraId="1DC93A8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类别</w:t>
            </w:r>
          </w:p>
        </w:tc>
        <w:tc>
          <w:tcPr>
            <w:tcW w:w="2440" w:type="dxa"/>
            <w:tcBorders>
              <w:top w:val="single" w:color="auto" w:sz="4" w:space="0"/>
              <w:left w:val="single" w:color="auto" w:sz="4" w:space="0"/>
              <w:bottom w:val="single" w:color="auto" w:sz="4" w:space="0"/>
              <w:right w:val="single" w:color="auto" w:sz="4" w:space="0"/>
            </w:tcBorders>
            <w:noWrap w:val="0"/>
            <w:vAlign w:val="top"/>
          </w:tcPr>
          <w:p w14:paraId="20283E2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工作内容</w:t>
            </w:r>
          </w:p>
        </w:tc>
        <w:tc>
          <w:tcPr>
            <w:tcW w:w="9618" w:type="dxa"/>
            <w:tcBorders>
              <w:top w:val="single" w:color="auto" w:sz="4" w:space="0"/>
              <w:left w:val="single" w:color="auto" w:sz="4" w:space="0"/>
              <w:bottom w:val="single" w:color="auto" w:sz="4" w:space="0"/>
              <w:right w:val="single" w:color="auto" w:sz="4" w:space="0"/>
            </w:tcBorders>
            <w:noWrap w:val="0"/>
            <w:vAlign w:val="top"/>
          </w:tcPr>
          <w:p w14:paraId="60FCF7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2"/>
                <w:szCs w:val="22"/>
              </w:rPr>
            </w:pPr>
            <w:r>
              <w:rPr>
                <w:rFonts w:hint="eastAsia" w:ascii="黑体" w:hAnsi="黑体" w:eastAsia="黑体" w:cs="黑体"/>
                <w:sz w:val="32"/>
                <w:szCs w:val="22"/>
              </w:rPr>
              <w:t>具体标准</w:t>
            </w:r>
          </w:p>
        </w:tc>
      </w:tr>
      <w:tr w14:paraId="2633A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14:paraId="60E076C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一、组织领导</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3ECCD3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明确领导力量，健全运行机制</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124F7058">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1.明确本县（市、区）农村产权流转交易的分管县级领导，有条件的可建立农村产权流转交易监督管理委员会。</w:t>
            </w:r>
          </w:p>
          <w:p w14:paraId="78281BA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2.明确本县（市、区）农村产权流转交易的牵头业务主管部门。</w:t>
            </w:r>
          </w:p>
          <w:p w14:paraId="3004EDDC">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3.建立农村产权流转交易工作协调机制，相关部门在牵头部门的组织协调下，有序推进农村产权流转交易工作。</w:t>
            </w:r>
          </w:p>
        </w:tc>
      </w:tr>
      <w:tr w14:paraId="1E79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14:paraId="7F5630E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二、场所</w:t>
            </w:r>
            <w:r>
              <w:rPr>
                <w:rFonts w:hint="eastAsia" w:ascii="仿宋" w:hAnsi="仿宋" w:eastAsia="仿宋" w:cs="仿宋"/>
                <w:sz w:val="28"/>
                <w:szCs w:val="28"/>
                <w:lang w:val="en-US" w:eastAsia="zh-CN"/>
              </w:rPr>
              <w:t>功能</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72BFED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交易场所应具有服务</w:t>
            </w:r>
            <w:r>
              <w:rPr>
                <w:rFonts w:hint="eastAsia" w:ascii="仿宋" w:hAnsi="仿宋" w:eastAsia="仿宋" w:cs="仿宋"/>
                <w:sz w:val="28"/>
                <w:szCs w:val="28"/>
              </w:rPr>
              <w:t>功能</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426771C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开展农村产权流转交易业务</w:t>
            </w:r>
            <w:r>
              <w:rPr>
                <w:rFonts w:hint="eastAsia" w:ascii="仿宋" w:hAnsi="仿宋" w:eastAsia="仿宋" w:cs="仿宋"/>
                <w:sz w:val="28"/>
                <w:szCs w:val="28"/>
              </w:rPr>
              <w:t>的</w:t>
            </w:r>
            <w:r>
              <w:rPr>
                <w:rFonts w:hint="eastAsia" w:ascii="仿宋" w:hAnsi="仿宋" w:eastAsia="仿宋" w:cs="仿宋"/>
                <w:sz w:val="28"/>
                <w:szCs w:val="28"/>
                <w:lang w:val="en-US" w:eastAsia="zh-CN"/>
              </w:rPr>
              <w:t>场所</w:t>
            </w:r>
            <w:r>
              <w:rPr>
                <w:rFonts w:hint="eastAsia" w:ascii="仿宋" w:hAnsi="仿宋" w:eastAsia="仿宋" w:cs="仿宋"/>
                <w:sz w:val="28"/>
                <w:szCs w:val="28"/>
              </w:rPr>
              <w:t>，</w:t>
            </w:r>
            <w:r>
              <w:rPr>
                <w:rFonts w:hint="eastAsia" w:ascii="仿宋" w:hAnsi="仿宋" w:eastAsia="仿宋" w:cs="仿宋"/>
                <w:sz w:val="28"/>
                <w:szCs w:val="28"/>
                <w:lang w:val="en-US" w:eastAsia="zh-CN"/>
              </w:rPr>
              <w:t>应具有承担政策咨询、业务受理、组织竞价、签订合同、交易鉴证等服务功能。</w:t>
            </w:r>
          </w:p>
        </w:tc>
      </w:tr>
      <w:tr w14:paraId="4093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14:paraId="6712B80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三、交易服务平台设置及人员配备</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CCB6F5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设立交易服务平台、配备适当人员</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233AA6C3">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1.依托公共资源交易中心、成都农交所等，设立农村产权流转交易服务平台，也可在公共资源交易中心设立服务专窗，提供服务人员、场地、设施设备等现场服务。</w:t>
            </w:r>
          </w:p>
          <w:p w14:paraId="37370D4A">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2.交易服务平台按照不相容岗位相分离的原则，设立咨询受理、交易组织、保障与风控等岗位。</w:t>
            </w:r>
          </w:p>
          <w:p w14:paraId="04262E2D">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3.从事交易业务的人员不低于3名。每年进行人员培训，可通过授课和讨论答疑的方式就农村产权政策支持、交易规则、交易流程、业务拓展、日常交易过程中常见问题等方面内容进行集中或在线培训。</w:t>
            </w:r>
          </w:p>
        </w:tc>
      </w:tr>
      <w:tr w14:paraId="5E4B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14:paraId="1A60586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四、交易公开</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07C75F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对农村产权流转交易政策、规则、流程等进行规范公开</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689D882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1.交易现场公开： </w:t>
            </w:r>
          </w:p>
          <w:p w14:paraId="47BDFDEB">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咨询受理窗口：摆放农村产权流转交易一般程序流程图、业务办理指南（二维码）、窗口指引牌、宣传资料、收费标准、咨询服务电话、监督举报电话、意见箱等；可根据场馆实际情况进行摆放。</w:t>
            </w:r>
          </w:p>
          <w:p w14:paraId="037A0895">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（2）独立设置的交易场所，开标室（竞价室）公开《开标程序》《开评标廉洁守则》；评标室公开《评审委员会职责、权利、义务》《开评标廉洁守则》；监督室公开监督工作规范标语；</w:t>
            </w:r>
          </w:p>
          <w:p w14:paraId="30EA975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2.网上公开：各项交易业务政策法规、交易规则、收费管理办法、办事指南、操作手册等。</w:t>
            </w:r>
          </w:p>
        </w:tc>
      </w:tr>
      <w:tr w14:paraId="6233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14:paraId="27DD1CB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五、制度建设</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12C48C4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建立健全规章制度</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47ADB23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建立完善的内部管理制度，包括但不限于：</w:t>
            </w:r>
          </w:p>
          <w:p w14:paraId="75B1AF52">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1.决策类：内部决策管理制度。</w:t>
            </w:r>
          </w:p>
          <w:p w14:paraId="4E1D738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2.管控类：分支机构管理、风险合规管理、财务管理、组织人事管理、资产管理等制度。</w:t>
            </w:r>
          </w:p>
          <w:p w14:paraId="182B3A4D">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3.支撑类：党建管理、信息系统管理、安全生产管理、综合管理等制度。</w:t>
            </w:r>
          </w:p>
          <w:p w14:paraId="3A1B68FA">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4.监督类：质疑投诉管理、责任追究管理等制度。</w:t>
            </w:r>
          </w:p>
          <w:p w14:paraId="1BF7C99B">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5.业务类：专家管理、公证机构管理、拍卖师和招拍挂主持人管理、产权登记、抵（质）押管理、价值评估、收费管理等制度。</w:t>
            </w:r>
          </w:p>
        </w:tc>
      </w:tr>
      <w:tr w14:paraId="61D6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14:paraId="32F85B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六、交易促进</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32BEF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配合清查核实，开展培训指导、宣传推介、代办服务</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7BAC13C2">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清查核实。配合县级政府或部门，以乡镇（街道）、村（社区）为单位和主体，利用不动产登记和自然资源登记成果、森林资源档案、土地规划调查成果、现有清产核资成果等，持续清查核实乡镇（街道）、村（居）民委员会、村级集体经济组织所持有和管理的资金、资产、资源等各类农村产权，按照“清查一批、核实一批、交易一批”原则，将清查核实后无权属或价值争议的产权纳入交易范围，实现公开交易。</w:t>
            </w:r>
          </w:p>
          <w:p w14:paraId="66BA5A55">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培训指导。组织乡镇（街道）、村（社区）干部、信息员、群众等，开展农村产权流转交易政策、流程、系统操作等培训指导。建立乡镇（街道）工作人员、村（社区）信息员联络群，指导流转交易的流程、受理要件、文件编制、回复有关问题咨询等。</w:t>
            </w:r>
          </w:p>
          <w:p w14:paraId="264BB984">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3.宣传推介。通过联络群、现场走访等方式，收集拟流转的产权项目信息，根据出让人需求和项目情况，通过新媒体开展宣传推介；推送市场主体的需求信息、投资意愿，协助信息对接和实地踏勘。</w:t>
            </w:r>
          </w:p>
          <w:p w14:paraId="5C06E17A">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4.代办服务。根据出让方需求及委托，提供流程指导、权证登记、出让方案编制、行政手续办理等交易前置流程代办服务。</w:t>
            </w:r>
          </w:p>
        </w:tc>
      </w:tr>
      <w:tr w14:paraId="62C0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49" w:type="dxa"/>
            <w:vMerge w:val="restart"/>
            <w:tcBorders>
              <w:top w:val="single" w:color="auto" w:sz="4" w:space="0"/>
              <w:left w:val="single" w:color="auto" w:sz="4" w:space="0"/>
              <w:right w:val="single" w:color="auto" w:sz="4" w:space="0"/>
            </w:tcBorders>
            <w:noWrap w:val="0"/>
            <w:vAlign w:val="center"/>
          </w:tcPr>
          <w:p w14:paraId="1702D9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七、咨询服务</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26DF9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（一）电话咨询</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1EBDD804">
            <w:pPr>
              <w:pStyle w:val="3"/>
              <w:keepNext w:val="0"/>
              <w:keepLines w:val="0"/>
              <w:pageBreakBefore w:val="0"/>
              <w:widowControl/>
              <w:kinsoku/>
              <w:wordWrap/>
              <w:overflowPunct/>
              <w:topLinePunct w:val="0"/>
              <w:autoSpaceDE/>
              <w:autoSpaceDN/>
              <w:bidi w:val="0"/>
              <w:adjustRightInd/>
              <w:snapToGrid/>
              <w:spacing w:line="3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公开咨询电话，保持电话畅通，及时接听电话，做好解答和记录。</w:t>
            </w:r>
          </w:p>
        </w:tc>
      </w:tr>
      <w:tr w14:paraId="4CDD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2049" w:type="dxa"/>
            <w:vMerge w:val="continue"/>
            <w:tcBorders>
              <w:left w:val="single" w:color="auto" w:sz="4" w:space="0"/>
              <w:right w:val="single" w:color="auto" w:sz="4" w:space="0"/>
            </w:tcBorders>
            <w:noWrap w:val="0"/>
            <w:vAlign w:val="center"/>
          </w:tcPr>
          <w:p w14:paraId="0E8676A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B880E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（二）现场咨询</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37725B76">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1.能当场答复的即时答复；</w:t>
            </w:r>
          </w:p>
          <w:p w14:paraId="0C21B23B">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2.需其他内设机构作出答复的，一次性告知答复的部门、地点、人员信息；</w:t>
            </w:r>
          </w:p>
          <w:p w14:paraId="3D559E70">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3.不能当场答复的，准确记录咨询人姓名、联系方式、咨询内容等信息，约定答复时间，最晚答复时间不超过 5 个工作日。</w:t>
            </w:r>
          </w:p>
        </w:tc>
      </w:tr>
      <w:tr w14:paraId="7340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5" w:hRule="atLeast"/>
        </w:trPr>
        <w:tc>
          <w:tcPr>
            <w:tcW w:w="2049" w:type="dxa"/>
            <w:vMerge w:val="restart"/>
            <w:tcBorders>
              <w:left w:val="single" w:color="auto" w:sz="4" w:space="0"/>
              <w:right w:val="single" w:color="auto" w:sz="4" w:space="0"/>
            </w:tcBorders>
            <w:noWrap w:val="0"/>
            <w:vAlign w:val="center"/>
          </w:tcPr>
          <w:p w14:paraId="295D131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八、项目运行</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7E5C5F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（一）交易申请</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65FD8A70">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1.资产资源类交易项目（</w:t>
            </w:r>
            <w:r>
              <w:rPr>
                <w:rFonts w:hint="eastAsia" w:ascii="仿宋" w:hAnsi="仿宋" w:eastAsia="仿宋" w:cs="仿宋"/>
                <w:color w:val="auto"/>
                <w:sz w:val="28"/>
                <w:szCs w:val="28"/>
              </w:rPr>
              <w:t>集体</w:t>
            </w:r>
            <w:r>
              <w:rPr>
                <w:rFonts w:hint="eastAsia" w:ascii="仿宋" w:hAnsi="仿宋" w:eastAsia="仿宋" w:cs="仿宋"/>
                <w:color w:val="auto"/>
                <w:sz w:val="28"/>
                <w:szCs w:val="28"/>
                <w:lang w:eastAsia="zh-CN"/>
              </w:rPr>
              <w:t>财产</w:t>
            </w:r>
            <w:r>
              <w:rPr>
                <w:rFonts w:hint="eastAsia" w:ascii="仿宋" w:hAnsi="仿宋" w:eastAsia="仿宋" w:cs="仿宋"/>
                <w:color w:val="auto"/>
                <w:sz w:val="28"/>
                <w:szCs w:val="28"/>
              </w:rPr>
              <w:t>、集体经营性财产收益权</w:t>
            </w:r>
            <w:r>
              <w:rPr>
                <w:rFonts w:hint="eastAsia" w:ascii="仿宋" w:hAnsi="仿宋" w:eastAsia="仿宋" w:cs="仿宋"/>
                <w:sz w:val="28"/>
                <w:szCs w:val="28"/>
              </w:rPr>
              <w:t>、小型水利设施、农业生产设施设备、涉农知识产权、土地经营权、“四荒地”使用权、林权、水域滩涂、集体经营性建设用地等）：</w:t>
            </w:r>
          </w:p>
          <w:p w14:paraId="697CF9B9">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交易申请书。</w:t>
            </w:r>
          </w:p>
          <w:p w14:paraId="6D4A8DB9">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产权证或其他权属证明材料。</w:t>
            </w:r>
          </w:p>
          <w:p w14:paraId="54F03790">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（3）内部决策材料，包含定价依据和有关审批情况的内部决策材料；决策包括村民（成员）会议或村民代表（成员代表）会议等。</w:t>
            </w:r>
          </w:p>
          <w:p w14:paraId="26513BC9">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（4）出让方身份证明材料和拟签订的《交易合同》文本。</w:t>
            </w:r>
          </w:p>
          <w:p w14:paraId="65AEBEEB">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2.资金类（工程、货物和服务项目招标采购）：</w:t>
            </w:r>
          </w:p>
          <w:p w14:paraId="1CF72C0C">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（1）内部决策材料。</w:t>
            </w:r>
          </w:p>
          <w:p w14:paraId="660CDD26">
            <w:pPr>
              <w:pStyle w:val="3"/>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（2）拟签订合同模板。</w:t>
            </w:r>
          </w:p>
          <w:p w14:paraId="4645C15B">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（3）资金来源证明。</w:t>
            </w:r>
          </w:p>
          <w:p w14:paraId="45F738A2">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（4）工程量清单、图纸、财评报告（如有）。</w:t>
            </w:r>
          </w:p>
        </w:tc>
      </w:tr>
      <w:tr w14:paraId="1A39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2049" w:type="dxa"/>
            <w:vMerge w:val="continue"/>
            <w:tcBorders>
              <w:left w:val="single" w:color="auto" w:sz="4" w:space="0"/>
              <w:bottom w:val="single" w:color="auto" w:sz="4" w:space="0"/>
              <w:right w:val="single" w:color="auto" w:sz="4" w:space="0"/>
            </w:tcBorders>
            <w:noWrap w:val="0"/>
            <w:vAlign w:val="center"/>
          </w:tcPr>
          <w:p w14:paraId="705B62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965EBE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（二）委托受理</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53358B2E">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机构对出让方的相关资料进行形式审查，签订交易委托协议。</w:t>
            </w:r>
          </w:p>
          <w:p w14:paraId="4E7770E2">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2.工作要求：</w:t>
            </w:r>
          </w:p>
          <w:p w14:paraId="00B6220F">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（1）履行首问责任制；</w:t>
            </w:r>
          </w:p>
          <w:p w14:paraId="4E818680">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（2）严格按照规定的要件和标准进行核实确认；</w:t>
            </w:r>
          </w:p>
          <w:p w14:paraId="44E02CBF">
            <w:pPr>
              <w:keepNext w:val="0"/>
              <w:keepLines w:val="0"/>
              <w:pageBreakBefore w:val="0"/>
              <w:widowControl/>
              <w:kinsoku/>
              <w:wordWrap/>
              <w:overflowPunct/>
              <w:topLinePunct w:val="0"/>
              <w:autoSpaceDE/>
              <w:autoSpaceDN/>
              <w:bidi w:val="0"/>
              <w:adjustRightInd/>
              <w:snapToGrid/>
              <w:spacing w:line="360" w:lineRule="exact"/>
              <w:ind w:left="365" w:leftChars="174"/>
              <w:jc w:val="left"/>
              <w:textAlignment w:val="auto"/>
              <w:rPr>
                <w:rFonts w:hint="eastAsia" w:ascii="仿宋" w:hAnsi="仿宋" w:eastAsia="仿宋" w:cs="仿宋"/>
                <w:sz w:val="28"/>
                <w:szCs w:val="28"/>
              </w:rPr>
            </w:pPr>
            <w:r>
              <w:rPr>
                <w:rFonts w:hint="eastAsia" w:ascii="仿宋" w:hAnsi="仿宋" w:eastAsia="仿宋" w:cs="仿宋"/>
                <w:sz w:val="28"/>
                <w:szCs w:val="28"/>
              </w:rPr>
              <w:t>（3）对不符合受理条件的一次性告知原因和补正要求；</w:t>
            </w:r>
          </w:p>
          <w:p w14:paraId="18B076C4">
            <w:pPr>
              <w:keepNext w:val="0"/>
              <w:keepLines w:val="0"/>
              <w:pageBreakBefore w:val="0"/>
              <w:widowControl/>
              <w:kinsoku/>
              <w:wordWrap/>
              <w:overflowPunct/>
              <w:topLinePunct w:val="0"/>
              <w:autoSpaceDE/>
              <w:autoSpaceDN/>
              <w:bidi w:val="0"/>
              <w:adjustRightInd/>
              <w:snapToGrid/>
              <w:spacing w:line="360" w:lineRule="exact"/>
              <w:ind w:left="365" w:leftChars="174"/>
              <w:jc w:val="left"/>
              <w:textAlignment w:val="auto"/>
              <w:rPr>
                <w:rFonts w:hint="eastAsia" w:ascii="仿宋" w:hAnsi="仿宋" w:eastAsia="仿宋" w:cs="仿宋"/>
                <w:sz w:val="28"/>
                <w:szCs w:val="28"/>
              </w:rPr>
            </w:pPr>
            <w:r>
              <w:rPr>
                <w:rFonts w:hint="eastAsia" w:ascii="仿宋" w:hAnsi="仿宋" w:eastAsia="仿宋" w:cs="仿宋"/>
                <w:sz w:val="28"/>
                <w:szCs w:val="28"/>
              </w:rPr>
              <w:t>（4）严格落实保密工作；</w:t>
            </w:r>
          </w:p>
          <w:p w14:paraId="2508A325">
            <w:pPr>
              <w:keepNext w:val="0"/>
              <w:keepLines w:val="0"/>
              <w:pageBreakBefore w:val="0"/>
              <w:widowControl/>
              <w:kinsoku/>
              <w:wordWrap/>
              <w:overflowPunct/>
              <w:topLinePunct w:val="0"/>
              <w:autoSpaceDE/>
              <w:autoSpaceDN/>
              <w:bidi w:val="0"/>
              <w:adjustRightInd/>
              <w:snapToGrid/>
              <w:spacing w:line="360" w:lineRule="exact"/>
              <w:ind w:left="365" w:leftChars="174"/>
              <w:jc w:val="left"/>
              <w:textAlignment w:val="auto"/>
              <w:rPr>
                <w:rFonts w:hint="eastAsia" w:ascii="仿宋" w:hAnsi="仿宋" w:eastAsia="仿宋" w:cs="仿宋"/>
                <w:sz w:val="32"/>
                <w:szCs w:val="22"/>
              </w:rPr>
            </w:pPr>
            <w:r>
              <w:rPr>
                <w:rFonts w:hint="eastAsia" w:ascii="仿宋" w:hAnsi="仿宋" w:eastAsia="仿宋" w:cs="仿宋"/>
                <w:sz w:val="28"/>
                <w:szCs w:val="28"/>
              </w:rPr>
              <w:t>（5）不得协助或者协同他人进行违法违规活动。</w:t>
            </w:r>
          </w:p>
        </w:tc>
      </w:tr>
      <w:tr w14:paraId="50DB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5" w:hRule="atLeast"/>
        </w:trPr>
        <w:tc>
          <w:tcPr>
            <w:tcW w:w="2049" w:type="dxa"/>
            <w:tcBorders>
              <w:left w:val="single" w:color="auto" w:sz="4" w:space="0"/>
              <w:bottom w:val="single" w:color="auto" w:sz="4" w:space="0"/>
              <w:right w:val="single" w:color="auto" w:sz="4" w:space="0"/>
            </w:tcBorders>
            <w:noWrap w:val="0"/>
            <w:vAlign w:val="center"/>
          </w:tcPr>
          <w:p w14:paraId="0B37632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八、项目运行</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533D385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（三）公告发布</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02F1079F">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1.资产资源类项目公告内容应当包括：</w:t>
            </w:r>
          </w:p>
          <w:p w14:paraId="38CB6C97">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（1）交易标的的基本情况；</w:t>
            </w:r>
          </w:p>
          <w:p w14:paraId="1C335075">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（2）交易方式、期限、交易起始价、交易保证金金额和缴纳方式、报名方式、报名时间、联系方式、交易服务费收取比例和收取方式、价款支付方式、违约责任、风险提示等；</w:t>
            </w:r>
          </w:p>
          <w:p w14:paraId="57E39B46">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（3）受让方资格条件及资格确认细则、交易标的交付方式及流程、限制性条件等内容；</w:t>
            </w:r>
          </w:p>
          <w:p w14:paraId="111BA236">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（4）包括但不限于瑕疵纰漏等对交易有重大影响的信息；</w:t>
            </w:r>
          </w:p>
          <w:p w14:paraId="6402E7CD">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（5）拟签订的《交易合同》文本；</w:t>
            </w:r>
          </w:p>
          <w:p w14:paraId="65D6F971">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（6）咨询联系方式；</w:t>
            </w:r>
          </w:p>
          <w:p w14:paraId="2E1CDB2F">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（7）需要公布的其他事项。</w:t>
            </w:r>
          </w:p>
          <w:p w14:paraId="42371E97">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2.资金类项目公告内容应当包括：</w:t>
            </w:r>
          </w:p>
          <w:p w14:paraId="26510BAC">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（1）项目基本情况：项目名称、项目简介、项目资金落实情况；</w:t>
            </w:r>
          </w:p>
          <w:p w14:paraId="484FEA00">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（2）采购人基本信息、代理机构基本信息（如有）；</w:t>
            </w:r>
          </w:p>
          <w:p w14:paraId="17F703FF">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（3）采购需求内容：包括但不限于采购方式、供应商参与项目应具备的条件、禁止参与项目的供应商要求、采购文件获取及递交的截止时间和地点、评审（竞价）开始时间和地点等；</w:t>
            </w:r>
          </w:p>
          <w:p w14:paraId="090D8ACB">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（4）咨询联系方式；</w:t>
            </w:r>
          </w:p>
          <w:p w14:paraId="49D90764">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（5）需要公布的其他事项。</w:t>
            </w:r>
          </w:p>
        </w:tc>
      </w:tr>
      <w:tr w14:paraId="396B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2049" w:type="dxa"/>
            <w:vMerge w:val="restart"/>
            <w:tcBorders>
              <w:left w:val="single" w:color="auto" w:sz="4" w:space="0"/>
              <w:right w:val="single" w:color="auto" w:sz="4" w:space="0"/>
            </w:tcBorders>
            <w:noWrap w:val="0"/>
            <w:vAlign w:val="center"/>
          </w:tcPr>
          <w:p w14:paraId="3E804C6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八、项目运行</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AAFF30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（四）受让受理</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65507935">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1.潜在受让方需要提供的资料清单，包括但不限于：</w:t>
            </w:r>
          </w:p>
          <w:p w14:paraId="2FAADA13">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（1）资产资源类：</w:t>
            </w:r>
          </w:p>
          <w:p w14:paraId="1F13E52F">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①交易承诺；</w:t>
            </w:r>
          </w:p>
          <w:p w14:paraId="43DC078C">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②交易保证金缴费凭证（如需）；</w:t>
            </w:r>
          </w:p>
          <w:p w14:paraId="28C450D1">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③主体资格证明：自然人提供身份证；法人或</w:t>
            </w:r>
            <w:r>
              <w:rPr>
                <w:rFonts w:hint="eastAsia" w:ascii="仿宋" w:hAnsi="仿宋" w:eastAsia="仿宋" w:cs="仿宋"/>
                <w:sz w:val="28"/>
                <w:szCs w:val="28"/>
                <w:lang w:eastAsia="zh-CN"/>
              </w:rPr>
              <w:t>其他组织</w:t>
            </w:r>
            <w:r>
              <w:rPr>
                <w:rFonts w:hint="eastAsia" w:ascii="仿宋" w:hAnsi="仿宋" w:eastAsia="仿宋" w:cs="仿宋"/>
                <w:sz w:val="28"/>
                <w:szCs w:val="28"/>
              </w:rPr>
              <w:t>提供法定代表人身份证明、营业执照或统一社会信用代码证；需委托他人办理交易的，提交授权委托书以及被授权人身份证明；</w:t>
            </w:r>
          </w:p>
          <w:p w14:paraId="4DDDDF6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④交易公告要求提交的其他材料，包括但不限于受让方的资信状况及经营能力证明材料等内容。</w:t>
            </w:r>
          </w:p>
          <w:p w14:paraId="141D2B83">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（2）资金类：响应或投标文件。</w:t>
            </w:r>
          </w:p>
          <w:p w14:paraId="02A8B377">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2.受理潜在受让方报名：</w:t>
            </w:r>
          </w:p>
          <w:p w14:paraId="2BCC2586">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机构对潜在受让方提交的报名材料进行齐全性审查，对符合条件的潜在受让方进行受理；不符合条件的，一次性告知原因并退还相关资料。符合报名条件的潜在受让方逾期未缴纳交易保证金的视为放弃受让意向。</w:t>
            </w:r>
          </w:p>
          <w:p w14:paraId="2DBB32DA">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报名信息须保密，严防信息泄露。</w:t>
            </w:r>
          </w:p>
        </w:tc>
      </w:tr>
      <w:tr w14:paraId="5028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049" w:type="dxa"/>
            <w:vMerge w:val="continue"/>
            <w:tcBorders>
              <w:left w:val="single" w:color="auto" w:sz="4" w:space="0"/>
              <w:right w:val="single" w:color="auto" w:sz="4" w:space="0"/>
            </w:tcBorders>
            <w:noWrap w:val="0"/>
            <w:vAlign w:val="center"/>
          </w:tcPr>
          <w:p w14:paraId="38CD8D41">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3BDC41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（五）组织交易</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0D98A12A">
            <w:pPr>
              <w:pStyle w:val="3"/>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按照公告载明的交易方式，组织项目交易，确定受让方。</w:t>
            </w:r>
          </w:p>
        </w:tc>
      </w:tr>
      <w:tr w14:paraId="599A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9" w:type="dxa"/>
            <w:vMerge w:val="continue"/>
            <w:tcBorders>
              <w:left w:val="single" w:color="auto" w:sz="4" w:space="0"/>
              <w:bottom w:val="single" w:color="auto" w:sz="4" w:space="0"/>
              <w:right w:val="single" w:color="auto" w:sz="4" w:space="0"/>
            </w:tcBorders>
            <w:noWrap w:val="0"/>
            <w:vAlign w:val="center"/>
          </w:tcPr>
          <w:p w14:paraId="1F391D4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3E7BFC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（六）结果公开</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35897B2D">
            <w:pPr>
              <w:pStyle w:val="3"/>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公开成交结果并同步到</w:t>
            </w:r>
            <w:r>
              <w:rPr>
                <w:rFonts w:hint="eastAsia" w:ascii="仿宋" w:hAnsi="仿宋" w:eastAsia="仿宋" w:cs="仿宋"/>
                <w:kern w:val="2"/>
                <w:sz w:val="28"/>
                <w:szCs w:val="28"/>
                <w:lang w:val="en-US" w:eastAsia="zh-CN" w:bidi="ar-SA"/>
              </w:rPr>
              <w:t>省农交平台。</w:t>
            </w:r>
            <w:r>
              <w:rPr>
                <w:rFonts w:hint="eastAsia" w:ascii="仿宋" w:hAnsi="仿宋" w:eastAsia="仿宋" w:cs="仿宋"/>
                <w:sz w:val="28"/>
                <w:szCs w:val="28"/>
              </w:rPr>
              <w:t>应当包括交易项目名称、标的项目主要信息</w:t>
            </w:r>
            <w:r>
              <w:rPr>
                <w:rFonts w:hint="eastAsia" w:ascii="仿宋" w:hAnsi="仿宋" w:eastAsia="仿宋" w:cs="仿宋"/>
                <w:b/>
                <w:bCs/>
                <w:sz w:val="24"/>
              </w:rPr>
              <w:t>、</w:t>
            </w:r>
            <w:r>
              <w:rPr>
                <w:rFonts w:hint="eastAsia" w:ascii="仿宋" w:hAnsi="仿宋" w:eastAsia="仿宋" w:cs="仿宋"/>
                <w:sz w:val="28"/>
                <w:szCs w:val="28"/>
              </w:rPr>
              <w:t>受让方、交易时间、成交价格等。</w:t>
            </w:r>
          </w:p>
        </w:tc>
      </w:tr>
      <w:tr w14:paraId="3170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049" w:type="dxa"/>
            <w:vMerge w:val="restart"/>
            <w:tcBorders>
              <w:left w:val="single" w:color="auto" w:sz="4" w:space="0"/>
              <w:right w:val="single" w:color="auto" w:sz="4" w:space="0"/>
            </w:tcBorders>
            <w:noWrap w:val="0"/>
            <w:vAlign w:val="center"/>
          </w:tcPr>
          <w:p w14:paraId="4EAAACB3">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八、项目运行</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6B973E9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（七）签订合同</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4C0D128D">
            <w:pPr>
              <w:pStyle w:val="3"/>
              <w:keepNext w:val="0"/>
              <w:keepLines w:val="0"/>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trike/>
                <w:sz w:val="28"/>
                <w:szCs w:val="28"/>
              </w:rPr>
            </w:pPr>
            <w:r>
              <w:rPr>
                <w:rFonts w:hint="eastAsia" w:ascii="仿宋" w:hAnsi="仿宋" w:eastAsia="仿宋" w:cs="仿宋"/>
                <w:sz w:val="28"/>
                <w:szCs w:val="28"/>
              </w:rPr>
              <w:t>交易双方依据交易文件、《成交确认书》或《成交通知书》等签订合同。</w:t>
            </w:r>
          </w:p>
        </w:tc>
      </w:tr>
      <w:tr w14:paraId="7EB1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2049" w:type="dxa"/>
            <w:vMerge w:val="continue"/>
            <w:tcBorders>
              <w:left w:val="single" w:color="auto" w:sz="4" w:space="0"/>
              <w:right w:val="single" w:color="auto" w:sz="4" w:space="0"/>
            </w:tcBorders>
            <w:noWrap w:val="0"/>
            <w:vAlign w:val="center"/>
          </w:tcPr>
          <w:p w14:paraId="4BD9753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3600ADB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（八）价款结算</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02D0145B">
            <w:pPr>
              <w:pStyle w:val="3"/>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1.交易服务费（如有）。受让方在《成交确认书》或《成交通知书》发放后3个工作日内，按信息公告确定的收费标准支付交易服务费。</w:t>
            </w:r>
          </w:p>
          <w:p w14:paraId="040A60C5">
            <w:pPr>
              <w:pStyle w:val="3"/>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2.交易保证金。受让方缴纳的交易保证金在交易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机构收到交易服务费后，转为交易价款；若截至《成交确认书》或《成交通知书》发放后3个工作日内交易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机构未收到交易服务费，将在交易保证金中扣除交易服务费后，再将剩余金额转为交易价款。其他潜在受让方缴纳的交易保证金，交易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机构在确定受让方次日起3个工作日内原路原款无息退还。</w:t>
            </w:r>
          </w:p>
          <w:p w14:paraId="2FC6F5EF">
            <w:pPr>
              <w:pStyle w:val="3"/>
              <w:keepNext w:val="0"/>
              <w:keepLines w:val="0"/>
              <w:pageBreakBefore w:val="0"/>
              <w:kinsoku/>
              <w:wordWrap/>
              <w:overflowPunct/>
              <w:topLinePunct w:val="0"/>
              <w:autoSpaceDE/>
              <w:autoSpaceDN/>
              <w:bidi w:val="0"/>
              <w:adjustRightInd/>
              <w:snapToGrid/>
              <w:spacing w:line="3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3.交易价款。受让方应按照签订合同约定的时间、比例结算剩余交易价款。交易</w:t>
            </w:r>
            <w:r>
              <w:rPr>
                <w:rFonts w:hint="eastAsia" w:ascii="仿宋" w:hAnsi="仿宋" w:eastAsia="仿宋" w:cs="仿宋"/>
                <w:sz w:val="28"/>
                <w:szCs w:val="28"/>
                <w:lang w:val="en-US" w:eastAsia="zh-CN"/>
              </w:rPr>
              <w:t>服务</w:t>
            </w:r>
            <w:r>
              <w:rPr>
                <w:rFonts w:hint="eastAsia" w:ascii="仿宋" w:hAnsi="仿宋" w:eastAsia="仿宋" w:cs="仿宋"/>
                <w:sz w:val="28"/>
                <w:szCs w:val="28"/>
              </w:rPr>
              <w:t>机构在收到受让方缴纳合同价款后，按照《交易委托合同》约定将合同价款划拨至出让方指定账户。出让方在收到合同价款后，向受让方</w:t>
            </w:r>
            <w:r>
              <w:rPr>
                <w:rFonts w:hint="eastAsia" w:ascii="仿宋" w:hAnsi="仿宋" w:eastAsia="仿宋" w:cs="仿宋"/>
                <w:sz w:val="28"/>
                <w:szCs w:val="28"/>
                <w:lang w:val="en-US" w:eastAsia="zh-CN"/>
              </w:rPr>
              <w:t>提供已收款证明材料</w:t>
            </w:r>
            <w:r>
              <w:rPr>
                <w:rFonts w:hint="eastAsia" w:ascii="仿宋" w:hAnsi="仿宋" w:eastAsia="仿宋" w:cs="仿宋"/>
                <w:sz w:val="28"/>
                <w:szCs w:val="28"/>
              </w:rPr>
              <w:t>。</w:t>
            </w:r>
          </w:p>
        </w:tc>
      </w:tr>
      <w:tr w14:paraId="5405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049" w:type="dxa"/>
            <w:vMerge w:val="continue"/>
            <w:tcBorders>
              <w:left w:val="single" w:color="auto" w:sz="4" w:space="0"/>
              <w:right w:val="single" w:color="auto" w:sz="4" w:space="0"/>
            </w:tcBorders>
            <w:noWrap w:val="0"/>
            <w:vAlign w:val="center"/>
          </w:tcPr>
          <w:p w14:paraId="07428078">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39A9256">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（九）交易鉴证</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0CB1E359">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1.资产资源项目交易鉴证书主要内容：鉴证编号、交易标的信息、出让方和受让方基本信息、交易方式、成交价格、成交时间、流转期限等。</w:t>
            </w:r>
          </w:p>
          <w:p w14:paraId="67EE566E">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2.资金项目交易鉴证书主要内容：项目名称、成交/中标供应商名称、成交/中标金额、成交供应商参与项目时间、成交/中标通知书发出日期。</w:t>
            </w:r>
          </w:p>
        </w:tc>
      </w:tr>
      <w:tr w14:paraId="13E86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049" w:type="dxa"/>
            <w:vMerge w:val="continue"/>
            <w:tcBorders>
              <w:left w:val="single" w:color="auto" w:sz="4" w:space="0"/>
              <w:bottom w:val="single" w:color="auto" w:sz="4" w:space="0"/>
              <w:right w:val="single" w:color="auto" w:sz="4" w:space="0"/>
            </w:tcBorders>
            <w:noWrap w:val="0"/>
            <w:vAlign w:val="center"/>
          </w:tcPr>
          <w:p w14:paraId="31C0FF22">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D6BF83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（十）档案管理</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55866502">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交易完成后，交易</w:t>
            </w:r>
            <w:r>
              <w:rPr>
                <w:rFonts w:hint="eastAsia" w:ascii="仿宋" w:hAnsi="仿宋" w:eastAsia="仿宋" w:cs="仿宋"/>
                <w:kern w:val="2"/>
                <w:sz w:val="28"/>
                <w:szCs w:val="28"/>
                <w:lang w:val="en-US" w:eastAsia="zh-CN" w:bidi="ar-SA"/>
              </w:rPr>
              <w:t>服务机</w:t>
            </w:r>
            <w:r>
              <w:rPr>
                <w:rFonts w:hint="eastAsia" w:ascii="仿宋" w:hAnsi="仿宋" w:eastAsia="仿宋" w:cs="仿宋"/>
                <w:sz w:val="28"/>
                <w:szCs w:val="28"/>
              </w:rPr>
              <w:t>构按照档案管理制度对交易过程中形成的文件档案、图像照片、录音影视等重要资料进行整理、归档和保存。</w:t>
            </w:r>
          </w:p>
        </w:tc>
      </w:tr>
      <w:tr w14:paraId="7D26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14:paraId="436591C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九、交易风险防控</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230C2C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廉政风险与交易过程的风险防控</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7C664BA8">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1.建立廉政风险防控工作机制：</w:t>
            </w:r>
          </w:p>
          <w:p w14:paraId="47AFECFB">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第一级防控是交易系统设置运行流程，固化岗位权责，设定交易条件、固化交易程序，以程序化交易消除平台交易运行的廉政风险点；第二级防控是严格部门（岗位）权责分解，岗位互控，分级授权审批，制式文书的制度建立，设计平台运行投诉质疑查处机制、专项内审，运行、核查、</w:t>
            </w:r>
            <w:r>
              <w:rPr>
                <w:rFonts w:hint="eastAsia" w:ascii="仿宋" w:hAnsi="仿宋" w:eastAsia="仿宋" w:cs="仿宋"/>
                <w:sz w:val="28"/>
                <w:szCs w:val="28"/>
                <w:lang w:eastAsia="zh-CN"/>
              </w:rPr>
              <w:t>处罚</w:t>
            </w:r>
            <w:r>
              <w:rPr>
                <w:rFonts w:hint="eastAsia" w:ascii="仿宋" w:hAnsi="仿宋" w:eastAsia="仿宋" w:cs="仿宋"/>
                <w:sz w:val="28"/>
                <w:szCs w:val="28"/>
              </w:rPr>
              <w:t>“三分离”的机制体系；第三级防控是指定部门（岗位）负责内部监督工作，畅通公开举报路径，制定《平台交易违规责任追究办法》，移送查处违法违纪问题；按照属地政府监督管理要求，向政府监督管理单位推送农交平台运行数据，接受监控，平台运行“留声留印”，终身追责。</w:t>
            </w:r>
          </w:p>
          <w:p w14:paraId="2FE573A9">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2.梳理廉政风险点位：对业务运行梳理廉政风险点位，制定防控措施，形成防控清单。</w:t>
            </w:r>
          </w:p>
          <w:p w14:paraId="6D8C7B1E">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3.监督检查：定期检查廉政风险防控措施落实情况、及时改进。</w:t>
            </w:r>
          </w:p>
          <w:p w14:paraId="08B491B3">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4.在网站和服务现场公开举报、投诉电话。</w:t>
            </w:r>
          </w:p>
          <w:p w14:paraId="5817D066">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5.健全交易质疑和投诉处理工作机制，形成受理、查处、反馈等环节衔接有序的工作机制。</w:t>
            </w:r>
          </w:p>
        </w:tc>
      </w:tr>
      <w:tr w14:paraId="08B0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14:paraId="36729FA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十、信息填报与数据统计</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4A8F058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对交易信息进行收集、汇总、报送</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0C38EC3B">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1.确定数据统计报送人员，明确数据报送责任。</w:t>
            </w:r>
          </w:p>
          <w:p w14:paraId="10431D21">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2.按要求报送、录入各类交易数据。信息收集必须保证数据采集的准确性和真实性。</w:t>
            </w:r>
          </w:p>
          <w:p w14:paraId="415F8FBE">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3.交易数据同步</w:t>
            </w:r>
            <w:r>
              <w:rPr>
                <w:rFonts w:hint="eastAsia" w:ascii="仿宋" w:hAnsi="仿宋" w:eastAsia="仿宋" w:cs="仿宋"/>
                <w:sz w:val="28"/>
                <w:szCs w:val="28"/>
                <w:lang w:val="en-US" w:eastAsia="zh-CN"/>
              </w:rPr>
              <w:t>至</w:t>
            </w:r>
            <w:r>
              <w:rPr>
                <w:rFonts w:hint="eastAsia" w:ascii="仿宋" w:hAnsi="仿宋" w:eastAsia="仿宋" w:cs="仿宋"/>
                <w:sz w:val="28"/>
                <w:szCs w:val="28"/>
              </w:rPr>
              <w:t>省</w:t>
            </w:r>
            <w:r>
              <w:rPr>
                <w:rFonts w:hint="eastAsia" w:ascii="仿宋" w:hAnsi="仿宋" w:eastAsia="仿宋" w:cs="仿宋"/>
                <w:sz w:val="28"/>
                <w:szCs w:val="28"/>
                <w:lang w:val="en-US" w:eastAsia="zh-CN"/>
              </w:rPr>
              <w:t>农交平台</w:t>
            </w:r>
            <w:r>
              <w:rPr>
                <w:rFonts w:hint="eastAsia" w:ascii="仿宋" w:hAnsi="仿宋" w:eastAsia="仿宋" w:cs="仿宋"/>
                <w:sz w:val="28"/>
                <w:szCs w:val="28"/>
              </w:rPr>
              <w:t>。</w:t>
            </w:r>
          </w:p>
        </w:tc>
      </w:tr>
      <w:tr w14:paraId="6950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049" w:type="dxa"/>
            <w:tcBorders>
              <w:top w:val="single" w:color="auto" w:sz="4" w:space="0"/>
              <w:left w:val="single" w:color="auto" w:sz="4" w:space="0"/>
              <w:bottom w:val="single" w:color="auto" w:sz="4" w:space="0"/>
              <w:right w:val="single" w:color="auto" w:sz="4" w:space="0"/>
            </w:tcBorders>
            <w:noWrap w:val="0"/>
            <w:vAlign w:val="center"/>
          </w:tcPr>
          <w:p w14:paraId="557A824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十一、安全管理</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74D1A7B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交易安全保障</w:t>
            </w:r>
          </w:p>
        </w:tc>
        <w:tc>
          <w:tcPr>
            <w:tcW w:w="9618" w:type="dxa"/>
            <w:tcBorders>
              <w:top w:val="single" w:color="auto" w:sz="4" w:space="0"/>
              <w:left w:val="single" w:color="auto" w:sz="4" w:space="0"/>
              <w:bottom w:val="single" w:color="auto" w:sz="4" w:space="0"/>
              <w:right w:val="single" w:color="auto" w:sz="4" w:space="0"/>
            </w:tcBorders>
            <w:noWrap w:val="0"/>
            <w:vAlign w:val="center"/>
          </w:tcPr>
          <w:p w14:paraId="05092C80">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1.建立交易现场安全防范与应急管理预案。落实安全工作人员。配置安全设施。</w:t>
            </w:r>
          </w:p>
          <w:p w14:paraId="2BA29CCC">
            <w:pPr>
              <w:keepNext w:val="0"/>
              <w:keepLines w:val="0"/>
              <w:pageBreakBefore w:val="0"/>
              <w:widowControl/>
              <w:kinsoku/>
              <w:wordWrap/>
              <w:overflowPunct/>
              <w:topLinePunct w:val="0"/>
              <w:autoSpaceDE/>
              <w:autoSpaceDN/>
              <w:bidi w:val="0"/>
              <w:adjustRightInd/>
              <w:snapToGrid/>
              <w:spacing w:line="3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2.建立交易异常情况处置机制，及时处理异常情况。</w:t>
            </w:r>
          </w:p>
        </w:tc>
      </w:tr>
    </w:tbl>
    <w:p w14:paraId="6050668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C9AC4"/>
    <w:multiLevelType w:val="singleLevel"/>
    <w:tmpl w:val="E15C9AC4"/>
    <w:lvl w:ilvl="0" w:tentative="0">
      <w:start w:val="2"/>
      <w:numFmt w:val="chineseCounting"/>
      <w:pStyle w:val="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NGMzMzViYTgyMWQyMTkzNTAwMDJhZjk5MzNhYTEifQ=="/>
    <w:docVar w:name="KSO_WPS_MARK_KEY" w:val="8bf8dee4-7d19-4ace-9142-d575da633260"/>
  </w:docVars>
  <w:rsids>
    <w:rsidRoot w:val="00000000"/>
    <w:rsid w:val="47B97563"/>
    <w:rsid w:val="6B0C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numPr>
        <w:ilvl w:val="0"/>
        <w:numId w:val="1"/>
      </w:numPr>
      <w:spacing w:line="570" w:lineRule="exact"/>
      <w:contextualSpacing/>
      <w:outlineLvl w:val="0"/>
    </w:pPr>
    <w:rPr>
      <w:rFonts w:ascii="黑体" w:hAnsi="黑体" w:eastAsia="黑体" w:cs="Times New Roman"/>
      <w:bCs/>
      <w:kern w:val="44"/>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qFormat/>
    <w:uiPriority w:val="99"/>
    <w:pPr>
      <w:widowControl w:val="0"/>
      <w:ind w:firstLine="420" w:firstLineChars="200"/>
      <w:jc w:val="both"/>
    </w:pPr>
    <w:rPr>
      <w:rFonts w:ascii="Calibri" w:hAnsi="Calibri" w:eastAsia="仿宋_GB2312" w:cs="Calibri"/>
      <w:kern w:val="2"/>
      <w:sz w:val="32"/>
      <w:szCs w:val="22"/>
      <w:lang w:val="en-US" w:eastAsia="zh-CN" w:bidi="ar-SA"/>
    </w:rPr>
  </w:style>
  <w:style w:type="paragraph" w:customStyle="1" w:styleId="6">
    <w:name w:val="主标题"/>
    <w:qFormat/>
    <w:uiPriority w:val="0"/>
    <w:pPr>
      <w:spacing w:line="585" w:lineRule="exact"/>
      <w:ind w:firstLine="200" w:firstLineChars="200"/>
      <w:jc w:val="center"/>
    </w:pPr>
    <w:rPr>
      <w:rFonts w:ascii="Calibri Light" w:hAnsi="Calibri Light" w:eastAsia="方正小标宋简体" w:cs="Times New Roman"/>
      <w:bCs/>
      <w:kern w:val="2"/>
      <w:sz w:val="4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3919</Words>
  <Characters>3968</Characters>
  <Lines>0</Lines>
  <Paragraphs>0</Paragraphs>
  <TotalTime>0</TotalTime>
  <ScaleCrop>false</ScaleCrop>
  <LinksUpToDate>false</LinksUpToDate>
  <CharactersWithSpaces>3971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2025-04-07T08:58:00Z</dcterms:created>
  <dc:creator>Epoint</dc:creator>
  <cp:lastModifiedBy>Mike Vazquez</cp:lastModifiedBy>
  <dcterms:modified xsi:type="dcterms:W3CDTF">2025-04-30T08:27:13Z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6C06AF3751544B868743F2EE7B293E59_13</vt:lpwstr>
  </property>
</Properties>
</file>